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2017/248 vom 29. Oktober 2019</w:t>
      </w:r>
    </w:p>
    <w:p>
      <w:r>
        <w:t>Sg Versicherungsgericht, 2019-10-29, DE</w:t>
      </w:r>
    </w:p>
    <w:p>
      <w:r>
        <w:rPr>
          <w:b/>
        </w:rPr>
        <w:t xml:space="preserve">Quelle: </w:t>
      </w:r>
      <w:r>
        <w:t>https://mcp.opencaselaw.ch/entscheid/sg_publikationen_IV 2017_248</w:t>
      </w:r>
    </w:p>
    <w:p>
      <w:r>
        <w:t>FR: SG_VERSICHERUNGSGERICHT IV 2017/248 du 29 octobre 2019</w:t>
      </w:r>
    </w:p>
    <w:p>
      <w:r>
        <w:t>IT: SG_VERSICHERUNGSGERICHT IV 2017/248 del 29 ottobre 2019</w:t>
      </w:r>
    </w:p>
    <w:p>
      <w:pPr>
        <w:pStyle w:val="Heading2"/>
      </w:pPr>
      <w:r>
        <w:t>Regeste</w:t>
      </w:r>
    </w:p>
    <w:p>
      <w:r>
        <w:t>Art. 28 IVG. Rentenanspruch. Beweiskraft eines medizinischen Gutachtens. Verwertbarkeit von mangels genügender gesetzlicher Grundlage rechtswidrig erlangtem Observationsmaterial bejaht. Verneinung einer Addition von Arbeitsunfähigkeiten aus somatischer und psychiatrischer Sicht. Abweisung der Beschwerde (Entscheid des Versicherungsgerichts des Kantons St. Gallen vom 29. Oktober 2019, IV 2017/248).</w:t>
      </w:r>
    </w:p>
    <w:p>
      <w:pPr>
        <w:pStyle w:val="Heading2"/>
      </w:pPr>
      <w:r>
        <w:t>Erwägungen</w:t>
      </w:r>
    </w:p>
    <w:p>
      <w:r>
        <w:rPr>
          <w:b/>
        </w:rPr>
        <w:t>E. 5.1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w:t>
      </w:r>
    </w:p>
    <w:p>
      <w:r>
        <w:rPr>
          <w:b/>
        </w:rPr>
        <w:t>E. 5.2</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(ehemalige) Rechtsvertreter der Beschwerdeführerin hat eine Honorarnote über den Betrag von Fr. 5'642.-- (inkl. Barauslagen und Mehrwertsteuer) eingereicht. Die Beschwerdeführerin ist im Verfahren IV 2012/62, welches mit einem Rückweisungsentscheid geendet hat, für ihre Aufwendungen entschädigt worden. Die im vorliegenden Verfahren festzusetzende Parteientschädigung bezieht sich somit nur auf den Vertretungsaufwand, der nach dem Rückweisungsentscheid vom 13. April 2015 angefallen ist. Der (ehemalige) Rechtsvertreter hatte die Beschwerdeführerin im Vorverfahren IV 2012/62 nicht vertreten, d.h. er hat die gesamten Akten studieren müssen. Das Aktenstudium ist im Vergleich mit einem durchschnittlichen IV-Rentenfall, in welchem praxisgemäss eine pauschale Parteientschädigung von Fr. 3'500.-- zugesprochen wird, überdurchschnittlich zeitintensiv gewesen, weil die IV-Anmeldung der Beschwerdeführerin im Verfügungszeitpunkt bereits über zehn Jahre zurückgelegen hat und weil Observationsmaterial in den Akten gelegen hat. Angesichts der Tatsache, dass nur ein Schriftenwechsel erfolgt ist, erscheint die vom (ehemaligen) Rechtsvertreter geforderte Parteientschädigung in der Höhe von Fr. 5'642.-- trotzdem als übersetzt. Vielmehr erscheint eine pauschale Parteientschädigung von Fr. 4'500.-- als angemessen. Diese ist um einen Fünftel zu kürzen (Art. 31 Abs. 3 AnwG). Somit entschädigt der Staat die Rechtsvertretung der Beschwerdeführerin mit Fr. 3'600.-- (einschliesslich Barauslagen und Mehrwertsteuer).</w:t>
      </w:r>
    </w:p>
    <w:p>
      <w:r>
        <w:rPr>
          <w:b/>
        </w:rPr>
        <w:t>E. 5.3</w:t>
      </w:r>
    </w:p>
    <w:p>
      <w:r>
        <w:t>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Gerichtskosten von Fr. 600.-- zufolge unentgeltlicher Rechtspflege befreit. Der Staat entschädigt die Rechtsvertretung der Beschwerdeführerin zufolge unentgeltlicher Rechtsverbeiständung mit Fr. 3'600.--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